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16 41 vom 13. Oktober 2016</w:t>
      </w:r>
    </w:p>
    <w:p>
      <w:r>
        <w:t>VS Kantonsgericht, 2016-10-13, FR</w:t>
      </w:r>
    </w:p>
    <w:p>
      <w:r>
        <w:rPr>
          <w:b/>
        </w:rPr>
        <w:t xml:space="preserve">Quelle: </w:t>
      </w:r>
      <w:r>
        <w:t>https://mcp.opencaselaw.ch/entscheid/vs_gerichte_C1 16 41</w:t>
      </w:r>
    </w:p>
    <w:p>
      <w:r>
        <w:t>FR: VS_GERICHTE C1 16 41 du 13 octobre 2016</w:t>
      </w:r>
    </w:p>
    <w:p>
      <w:r>
        <w:t>IT: VS_GERICHTE C1 16 41 del 13 ottobre 2016</w:t>
      </w:r>
    </w:p>
    <w:p>
      <w:pPr>
        <w:pStyle w:val="Heading2"/>
      </w:pPr>
      <w:r>
        <w:t>Regeste</w:t>
      </w:r>
    </w:p>
    <w:p>
      <w:r>
        <w:t>C1 16 41 JUGEMENT DU 13 OCTOBRE 2016 Tribunal cantonal du Valais Cour civile I Jérôme Emonet, juge unique ; Bénédicte Balet, greffière en la cause X_________, recourante, représentée par Maître M_________ contre la décision rendue le 7 janvier 2016 par l’ Autorité de protection de l'enfant et de l'adulte de N_________, autorité attaquée (protection de l’adulte ; curatelle de représentation et de gestion ; art. 183 al. 1 CPC)</w:t>
      </w:r>
    </w:p>
    <w:p>
      <w:pPr>
        <w:pStyle w:val="Heading2"/>
      </w:pPr>
      <w:r>
        <w:t>Erwägungen</w:t>
      </w:r>
    </w:p>
    <w:p>
      <w:r>
        <w:rPr>
          <w:b/>
        </w:rPr>
        <w:t>E. 1.1</w:t>
      </w:r>
    </w:p>
    <w:p>
      <w:r>
        <w:t>L’article 450 al. 1 CC prescrit que les décisions de l’autorité de protection peuvent faire l’objet d’un recours devant le juge compétent. Ont notamment qualité pour recourir les parties à la procédure et les proches de la personne concernée (art. 450 al.</w:t>
      </w:r>
    </w:p>
    <w:p>
      <w:r>
        <w:rPr>
          <w:b/>
        </w:rPr>
        <w:t>E. 1.2</w:t>
      </w:r>
    </w:p>
    <w:p>
      <w:r>
        <w:t>Le Tribunal cantonal est compétent pour traiter les des recours contre les décisions de l'autorité de protection (art. 114 al. 1 ch. 4 LACC). Un juge unique peut en connaître (art. 114 al. 2 LACC). Le juge de céans est dès lors compétent pour traiter le recours de X_________ contre la décision de l’APEA du 7 janvier 2016.</w:t>
      </w:r>
    </w:p>
    <w:p>
      <w:r>
        <w:rPr>
          <w:b/>
        </w:rPr>
        <w:t>E. 1.2.1</w:t>
      </w:r>
    </w:p>
    <w:p>
      <w:r>
        <w:t>et 2.2). Dans la mesure où le recourant a toujours la possibilité d’attaquer l’ordonnance litigieuse en même temps que la décision finale (BRUNNER, Kurzkommentar, Schweizerische Zivilprozessordnung, 2014, n. 13 ad art. 319 CPC ; DOLGE, Zivilprozess - Aktuel, 2013, p. 58), le recours dirigé contre une ordonnance en matière de preuve sera en principe déclaré irrecevable. En l’espèce, un éventuel recours contre l’ordonnance de preuve du 5 janvier 2016 aurait selon toute vraisemblance été déclaré irrecevable, la recourante ne subissant</w:t>
      </w:r>
    </w:p>
    <w:p>
      <w:r>
        <w:t>- 12 - aucun préjudice difficilement réparable. Par conséquent, l’autorité intimée n’avait pas à attendre l’échéance du délai de recours pour notifier sa décision finale.</w:t>
      </w:r>
    </w:p>
    <w:p>
      <w:r>
        <w:rPr>
          <w:b/>
        </w:rPr>
        <w:t>E. 2</w:t>
      </w:r>
    </w:p>
    <w:p>
      <w:r>
        <w:t>Dans un grief qu’il convient d’examiner en premier lieu, la recourante se plaint d’une violation de son droit d’être entendue, dans la mesure où, d’une part, les prises de position de la Dresse I_________ des 11 décembre 2015 et 5 janvier 2016 ne lui ont pas été transmises, et d’autre part, l’APEA a rendu sa décision sans attendre l’échéance du délai de recours contre l’ordonnance de preuve du 5 janvier 2016, rejetant la demande tendant à l’audition de Me L_________.</w:t>
      </w:r>
    </w:p>
    <w:p>
      <w:r>
        <w:rPr>
          <w:b/>
        </w:rPr>
        <w:t>E. 2.1.1</w:t>
      </w:r>
    </w:p>
    <w:p>
      <w:r>
        <w:t>Le droit d'être entendu est une garantie de nature formelle, dont la violation entraîne l'annulation de la décision attaquée sans égard aux chances de succès du recours sur le fond (ATF 137 I 195 consid. 2.2). Ce moyen doit par conséquent être examiné en premier lieu (ATF 124 I 49 consid. 1) et avec un plein pouvoir d'examen (ATF 127 III 193 consid. 3). Compris comme l'un des aspects de la notion générale de procès équitable au sens des articles 29 Cst. et 6 CEDH, le droit d'être entendu garantit notamment le droit pour une partie à un procès de prendre connaissance de toute pièce du dossier ainsi que de toute argumentation présentée au tribunal et de se déterminer à leur propos, que celle-</w:t>
      </w:r>
    </w:p>
    <w:p>
      <w:r>
        <w:t>- 8 - ci contienne ou non de nouveaux éléments de fait ou de droit. Il appartient en effet aux parties, et non au juge, de décider si une prise de position ou une pièce nouvellement versée au dossier appelle des observations de leur part. Toute prise de position ou pièce nouvelle versée au dossier doit dès lors être communiquée aux parties pour leur permettre de décider si elles veulent ou non faire usage de leur faculté de se déterminer (parmi plusieurs : ATF 138 I 484 consid. 2.1 ; 137 I 195 consid. 2.3.1 ; 133 I 100 consid. 4.3 et les références aux arrêts de la CourEDH ; arrêt 5A_1007/2015 du 26 février 2016 consid. 3.1). Exceptionnellement, une violation du droit d'être entendu, pour autant qu'elle ne soit pas particulièrement grave, peut être réparée lorsque l'intéressé a la possibilité de s'exprimer devant une autorité de recours disposant du même pouvoir d'examen que l'autorité inférieure. Par ailleurs, même si la violation du droit d'être entendu est grave, une réparation de ce vice procédural devant l'autorité de recours est envisageable si le renvoi à l'autorité inférieure constituerait une vaine formalité. L'allongement inutile de la procédure qui en découlerait est en effet incompatible avec l'intérêt de la partie concernée à ce que sa cause soit tranchée dans un délai raisonnable (arrêt 6B_33/2014 du 13 mars 2014 consid. 2).</w:t>
      </w:r>
    </w:p>
    <w:p>
      <w:r>
        <w:rPr>
          <w:b/>
        </w:rPr>
        <w:t>E. 2.1.2</w:t>
      </w:r>
    </w:p>
    <w:p>
      <w:r>
        <w:t>Selon l'article 446 al. 1 CC, l'autorité de protection de l'adulte établit (erforscht) les faits d'office. L'alinéa 2 de cette disposition prévoit que l'autorité procède à la recherche et à l'administration des preuves nécessaires, qu'elle peut charger une tierce personne ou un service d'effectuer une enquête et que, si nécessaire, elle ordonne un rapport d'expertise. L'autorité peut ainsi faire procéder à une expertise médicale afin de déterminer la nécessité de l’instauration d’une mesure. Elle reste toutefois libre dans son interprétation de celle-ci, qui ne la lie ni en fait ni en droit. L'opportunité de solliciter l'avis d'un expert dépend du type de mesure envisagée mais une expertise médicale s'avère en principe indispensable lorsqu'il s'agit de limiter l'exercice des droits civils d'une personne en raison d'un trouble psychique ou d'une déficience mentale et qu'aucun membre de l'autorité n'a les compétences médicales nécessaires (ATF 140 III 97 consid. 4 ; arrêt 5A_617/2014 du 1er décembre 2014 consid. 4.3 ; Message, FF 2006 6635 [6711], n° 2.3.1 ad art. 446 ; MEIER/LUKIC, Introduction au nouveau droit de la protection de l'adulte, 2011, n° 403 p. 192). Hormis les cas manifestes, où un certificat du médecin traitant pourrait suffire, le rapport d’expertise devrait être la règle lorsqu’il est prévu d’instituer une curatelle de portée générale ou une autre curatelle avec restriction des droits civils qui ne porte pas uniquement sur des tâches</w:t>
      </w:r>
    </w:p>
    <w:p>
      <w:r>
        <w:t>- 9 - ponctuelles (MEIER, Nouveau droit de la protection de l’adulte : Introduction générale et système des curatelles, in RNRF 94/2013 n° 55 p. 92).</w:t>
      </w:r>
    </w:p>
    <w:p>
      <w:r>
        <w:rPr>
          <w:b/>
        </w:rPr>
        <w:t>E. 2.1.3</w:t>
      </w:r>
    </w:p>
    <w:p>
      <w:r>
        <w:t>La possibilité pour l’autorité de protection de faire abstraction d’un rapport d’expertise externe repose sur le fait que celle-ci est un organe spécialisé et pluridisciplinaire (STEINAUER/FOUNTOULAKIS, Droit des personnes physiques et de la protection de l'adulte, 2014, no 1101, p. 491). Lorsque l'autorité de protection renonce à faire appel à un expert externe parce qu'elle possède les connaissances nécessaires, elle doit en informer les parties pour que celles-ci puissent se déterminer (STEINAUER/ FOUNTOULAKIS, no 1101b, p. 492, qui renvoient à l’art. 183 al. 3 CPC ; STECK, Commentaire du droit de la famille, Protection de l'adulte, 2013, n. 15 ad art. 446 CC ; AUER/MARTI, in: Basler Kommentar, 2014, n. 23 ad art. 446 CC ; STECK in, Erwachsenenschutzrecht [édit. ROSCH/BÜCHLER/JAKOB], 2015, n. 6c ad art. 446). L’avis du membre spécialisé de l’autorité doit être tenu par écrit ou présenté oralement aux autres membres de l’autorité et consigné au procès-verbal. Cette façon de procéder permet de s’assurer que les droits des parties ont été respectés et à l’autorité de recours d’analyser l’avis de l’assesseur-expert (AUER/MARTI, loc. cit.). Aux termes de l’article 14 al. 4 LACC, l’autorité de protection peut faire appel à un assesseur disposant de connaissances spéciales, notamment en matière d’éducation, de pédagogie, de médecine, de psychologie ou de gestion fiduciaire des biens. L’assesseur appelé dans un cas particulier siège avec voie délibérative (cf. art. 15 al. 3 LACC).</w:t>
      </w:r>
    </w:p>
    <w:p>
      <w:r>
        <w:rPr>
          <w:b/>
        </w:rPr>
        <w:t>E. 2.1.4</w:t>
      </w:r>
    </w:p>
    <w:p>
      <w:r>
        <w:t>Si le CPC, applicable à titre supplétif en matière de protection de l’enfant et de l’adulte (cf. art. 450f CC), prévoit un droit des parties à s’exprimer sur les connaissances spécifiques de l’un des membres de l’autorité (cf. art. 183 al. 3 CPC), il reste muet quant à la possibilité de se déterminer sur l’éventuel rapport de l’assesseur- expert, que ce dernier soit rendu par écrit ou par oral et consigné au procès-verbal. Se pose dès lors la question de savoir si l’autorité doit entendre les parties préalablement au dépôt du rapport de l’assesseur-expert (cf. art. 183 al. 1 2e phrase CPC), si les partie disposent du droit de participer à la formulation des questions posées à l’expert ou si elles peuvent proposer que celles-ci soient modifiées ou complétées (cf. art. 185 al. 2 CPC). L’arrêt rendu le 6 novembre 2013 (5A_478/2013) par le Tribunal fédéral n’a pas non plus répondu à ces questions. Les juges fédéraux ont cependant précisé que les parties ne devaient pas être plus mal placées que si l’autorité avait ordonné une expertise (cf. arrêt 5A_478/2013 précité, consid. 4.1 in fine ; cf. également MOSIMANN, Richter als Gutachter ?, in Jusletter 19 janvier 2015, § 58 et les réf.).</w:t>
      </w:r>
    </w:p>
    <w:p>
      <w:r>
        <w:t>- 10 - Dans un arrêt rendu avant l’entrée en vigueur du CPC, le Tribunal fédéral avait laissé ouverte - faute de motivation suffisante du grief - la question de savoir si le droit d’être entendu des parties était violé, dans le cas où elles n’avaient pas eu l’occasion de s’exprimer sur l’avis de l’assesseur-expert avant que le jugement ne soit rendu, admettant toutefois que la doctrine majoritaire répondait par l’affirmative à cette question (cf. arrêt 4P.189/2002 du 9 décembre 2002 consid. 3.2.3 et 3.2.4 publié in Pra 2003 no 130 p. 689). La doctrine semble unanimement reconnaître que l’article 183 al. 3 CPC ne laisse plus aucune place à l’interprétation et que les parties doivent avoir l’occasion de s’exprimer sur l’avis du juge spécialiste et de le contester avant que le jugement ne soit rendu (RÜETSCHI, in : Berner Kommentar, 2012, n. 49 ad art. 183 CPC ; DOLGE, in Basler Kommentar, 2013, n. 46 ad art. 183 CPC ; WULLSCHLEGER, in : GEHRI/SØRENSEN/SARBACH, ZPO Kommentar – Schweizerische Zivilprozessordnung, 2015, n. 9 ad art. 183 CPC ; WEIBEL, in SUTTER-SOMM/HASENBÖHLER/LEUENBERGER [édit.], Kommentar zur schweizerischen Zivilprozessordnung, 2016, n. 38 ad art. 183 CPC). On relèvera encore que dans un arrêt récent, le Tribunal fédéral a reconnu une violation du droit d’être entendu dans un cas où la cour cantonale genevoise avait confirmé la mesure de curatelle de gestion et de représentation prononcée par l’autorité de protection, en se fondant notamment sur un certificat médical qui n’avait pas été communiqué à la recourante et dont celle-ci avait eu connaissance seulement avec l’arrêt au fond (cf. arrêt 5A_1007/2015 du 26 février 2016).</w:t>
      </w:r>
    </w:p>
    <w:p>
      <w:r>
        <w:rPr>
          <w:b/>
        </w:rPr>
        <w:t>E. 2.2</w:t>
      </w:r>
    </w:p>
    <w:p>
      <w:r>
        <w:t>Au vu des considérations qui précèdent, force est d’admettre qu’en ne communiquant pas à la recourante l’avis médical établi par la Dresse I_________, l’APEA a violé son droit d’être entendue. Cet avis a en effet une importance prépondérante dans la présente procédure - où la recourante a été privée d’une partie de l’exercice de ses droits civils - puisqu’il fait partie intégrante de l’état de fait retenu par l’autorité. S’il ne remplace pas formellement une expertise, il a de fait cependant le même poids que celle-ci. Il y a lieu de rappeler que la nécessité de disposer d’une expertise a été plusieurs fois soulignée par l’APEA (cf. not. dossier, p. 435), ainsi que par la Dresse I_________ elle-même (cf. dossier, p. 426), mais que le moyen n’a finalement pas pu été administré en raison du refus de la recourante de se présenter devant l’expert désigné. Enfin, en ne disposant pas de la possibilité de se déterminer sur l’avis de l’assesseur-expert, la recourante se trouve finalement plus mal placée que si l’expertise avait été diligentée, puisqu’elle aurait vraisemblablement bénéficié dans cette hypothèse d’un délai pour faire valoir ses observations, voire poser des questions</w:t>
      </w:r>
    </w:p>
    <w:p>
      <w:r>
        <w:t>- 11 - complémentaires à l’expert, occasion qui ne lui a pas été présentée dans la présente procédure. Le recours doit par conséquent être admis sur ce point.</w:t>
      </w:r>
    </w:p>
    <w:p>
      <w:r>
        <w:rPr>
          <w:b/>
        </w:rPr>
        <w:t>E. 2.3</w:t>
      </w:r>
    </w:p>
    <w:p>
      <w:r>
        <w:t>La recourante s’estime victime d’une deuxième violation du droit d’être entendu dans la mesure où l’APEA n’a pas attendu l’échéance du délai de recours contre la décision de refus d’audition de Me L_________, avant de rendre la décision finale, présentement attaquée. On ne voit cependant pas en quoi le droit d’être entendu de l’intéressée aurait ainsi été violé. L’article 450 al. 1 CC prévoit que les décisions de l’autorité de protection de l’adulte peuvent être attaquées par un recours devant le juge compétent. Cette disposition - qui ne comporte pas de plus amples précisions sur l’objet du recours - vise les décisions finales de l’autorité de protection. Dans la mesure où le droit valaisan ne détermine pas les possibilités de recours en matière de protection de l’enfant, le recours contre les autres décisions, en particulier les décisions incidentes et les décisions d’instruction, est soumis aux dispositions du code de procédure civile (STECK, in Rosch/Büchler/Jakob, Erwachsenenschutzrecht, 2015, n. 8c ss ad art. 450 CC ; BOHNET, Autorités et procédure en matière de protection de l’adulte, in Le nouveau droit de la protection de l’adulte, 2012, p. 88 et 89 ; MEIER/LUKIC, p. 58 ; Droit de la protection de l’adulte, COPMA éd., 2012, n. 12.35 ; cf. arrêts 5D_100/2014 du 19 septembre 2014 consid. 2.2.3.2 ; 5A_655/2013 du 29 octobre 2013 consid. 2) ; Or, il est de jurisprudence constante que les décisions en matière de preuve ne peuvent être attaquées que si elles causent un préjudice difficilement réparable (cf. art. 319 let. b ch. 2 CPC), ce qui n’est le cas que lorsqu'un jugement sur le fond, même favorable à l’intéressé, ne le ferait pas disparaître entièrement (ATF 137 III 180 consid.</w:t>
      </w:r>
    </w:p>
    <w:p>
      <w:r>
        <w:rPr>
          <w:b/>
        </w:rPr>
        <w:t>E. 3</w:t>
      </w:r>
    </w:p>
    <w:p>
      <w:r>
        <w:t>En définitive, la violation du droit d’être entendu commise par l’APEA suffit à annuler la décision, sans qu’il soit nécessaire d’examiner les autres griefs formulés dans le recours. Il convient dès lors de renvoyer la cause à l’autorité intimée, à qui il appartiendra de rendre une nouvelle décision, tenant compte le cas échéants des observations faites par la recourante sur l’avis médical de la Dresse I_________. La cause étant renvoyée à l’autorité intimée, il appartiendra également à cette dernière de se prononcer sur la requête de récusation formulée le 14 janvier 2016 à l’encontre de la présidente P_________ et de la greffière, Q_________.</w:t>
      </w:r>
    </w:p>
    <w:p>
      <w:r>
        <w:rPr>
          <w:b/>
        </w:rPr>
        <w:t>E. 4</w:t>
      </w:r>
    </w:p>
    <w:p>
      <w:r>
        <w:t>La commune de R_________ versera à X_________ une indemnité de 1000 fr. à titre de dépens pour la procédure de recours.</w:t>
      </w:r>
    </w:p>
    <w:p>
      <w:r>
        <w:t>Sion, le 13 octobre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